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F73B" w14:textId="0760C6A3" w:rsidR="00B541C3" w:rsidRDefault="008F074E" w:rsidP="008F074E">
      <w:pPr>
        <w:jc w:val="center"/>
        <w:rPr>
          <w:rFonts w:cstheme="minorHAnsi"/>
          <w:b/>
          <w:bCs/>
          <w:color w:val="165D2A"/>
          <w:sz w:val="32"/>
          <w:szCs w:val="32"/>
        </w:rPr>
      </w:pPr>
      <w:r>
        <w:rPr>
          <w:rFonts w:cstheme="minorHAnsi"/>
          <w:b/>
          <w:bCs/>
          <w:noProof/>
          <w:color w:val="165D2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521BA" wp14:editId="26B109AC">
                <wp:simplePos x="0" y="0"/>
                <wp:positionH relativeFrom="column">
                  <wp:posOffset>1601072</wp:posOffset>
                </wp:positionH>
                <wp:positionV relativeFrom="paragraph">
                  <wp:posOffset>1099250</wp:posOffset>
                </wp:positionV>
                <wp:extent cx="2425485" cy="0"/>
                <wp:effectExtent l="0" t="12700" r="1333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872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BAE4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05pt,86.55pt" to="317.0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" strokecolor="#b8721d" strokeweight="2.25pt">
                <v:stroke joinstyle="miter"/>
              </v:line>
            </w:pict>
          </mc:Fallback>
        </mc:AlternateContent>
      </w:r>
      <w:r w:rsidR="00B541C3" w:rsidRPr="008F074E">
        <w:rPr>
          <w:rFonts w:cstheme="minorHAnsi"/>
          <w:b/>
          <w:bCs/>
          <w:color w:val="165D2A"/>
          <w:sz w:val="32"/>
          <w:szCs w:val="32"/>
        </w:rPr>
        <w:t xml:space="preserve">DECLARACIÓN ESPECIAL </w:t>
      </w:r>
      <w:r w:rsidR="00CB2B79" w:rsidRPr="008F074E">
        <w:rPr>
          <w:rFonts w:cstheme="minorHAnsi"/>
          <w:b/>
          <w:bCs/>
          <w:color w:val="165D2A"/>
          <w:sz w:val="32"/>
          <w:szCs w:val="32"/>
        </w:rPr>
        <w:t xml:space="preserve">INTERSECTORIAL AGRICULTURA Y AMBIENTE DE </w:t>
      </w:r>
      <w:r w:rsidR="00B541C3" w:rsidRPr="008F074E">
        <w:rPr>
          <w:rFonts w:cstheme="minorHAnsi"/>
          <w:b/>
          <w:bCs/>
          <w:color w:val="165D2A"/>
          <w:sz w:val="32"/>
          <w:szCs w:val="32"/>
        </w:rPr>
        <w:t>LA REGIÓN SICA</w:t>
      </w:r>
      <w:r w:rsidR="00274541" w:rsidRPr="008F074E">
        <w:rPr>
          <w:rFonts w:cstheme="minorHAnsi"/>
          <w:b/>
          <w:bCs/>
          <w:color w:val="165D2A"/>
          <w:sz w:val="32"/>
          <w:szCs w:val="32"/>
        </w:rPr>
        <w:t xml:space="preserve"> </w:t>
      </w:r>
      <w:r w:rsidR="007A4365" w:rsidRPr="008F074E">
        <w:rPr>
          <w:rFonts w:cstheme="minorHAnsi"/>
          <w:b/>
          <w:bCs/>
          <w:color w:val="165D2A"/>
          <w:sz w:val="32"/>
          <w:szCs w:val="32"/>
        </w:rPr>
        <w:t>EN EL MARCO DE LA XXVI</w:t>
      </w:r>
      <w:r w:rsidR="00D84553" w:rsidRPr="008F074E">
        <w:rPr>
          <w:rFonts w:cstheme="minorHAnsi"/>
          <w:b/>
          <w:bCs/>
          <w:color w:val="165D2A"/>
          <w:sz w:val="32"/>
          <w:szCs w:val="32"/>
        </w:rPr>
        <w:t>I</w:t>
      </w:r>
      <w:r w:rsidR="007A4365" w:rsidRPr="008F074E">
        <w:rPr>
          <w:rFonts w:cstheme="minorHAnsi"/>
          <w:b/>
          <w:bCs/>
          <w:color w:val="165D2A"/>
          <w:sz w:val="32"/>
          <w:szCs w:val="32"/>
        </w:rPr>
        <w:t xml:space="preserve"> CONFERENCIA DE LAS PARTES DE LA CONVENCIÓN MARCO DE CAMBIO CLIMÁTICO (COP2</w:t>
      </w:r>
      <w:r w:rsidR="00CB2B79" w:rsidRPr="008F074E">
        <w:rPr>
          <w:rFonts w:cstheme="minorHAnsi"/>
          <w:b/>
          <w:bCs/>
          <w:color w:val="165D2A"/>
          <w:sz w:val="32"/>
          <w:szCs w:val="32"/>
        </w:rPr>
        <w:t>7</w:t>
      </w:r>
      <w:r w:rsidR="007A4365" w:rsidRPr="008F074E">
        <w:rPr>
          <w:rFonts w:cstheme="minorHAnsi"/>
          <w:b/>
          <w:bCs/>
          <w:color w:val="165D2A"/>
          <w:sz w:val="32"/>
          <w:szCs w:val="32"/>
        </w:rPr>
        <w:t>)</w:t>
      </w:r>
    </w:p>
    <w:p w14:paraId="524C5CA9" w14:textId="77777777" w:rsidR="008F074E" w:rsidRPr="008F074E" w:rsidRDefault="008F074E" w:rsidP="008F074E">
      <w:pPr>
        <w:jc w:val="center"/>
        <w:rPr>
          <w:rFonts w:cstheme="minorHAnsi"/>
          <w:b/>
          <w:bCs/>
          <w:color w:val="165D2A"/>
          <w:sz w:val="32"/>
          <w:szCs w:val="32"/>
        </w:rPr>
      </w:pPr>
    </w:p>
    <w:p w14:paraId="3CA708EF" w14:textId="6AE8C380" w:rsidR="00B541C3" w:rsidRPr="008F074E" w:rsidRDefault="008D1071" w:rsidP="00B541C3">
      <w:pPr>
        <w:jc w:val="center"/>
        <w:rPr>
          <w:rFonts w:asciiTheme="majorHAnsi" w:hAnsiTheme="majorHAnsi" w:cstheme="majorHAnsi"/>
          <w:b/>
          <w:bCs/>
          <w:color w:val="165D2A"/>
          <w:sz w:val="24"/>
          <w:szCs w:val="24"/>
        </w:rPr>
      </w:pPr>
      <w:r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 xml:space="preserve">Reunión </w:t>
      </w:r>
      <w:r w:rsidR="00CB2B79"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 xml:space="preserve">Intersectorial </w:t>
      </w:r>
      <w:r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 xml:space="preserve">de Ministros de Agricultura </w:t>
      </w:r>
      <w:r w:rsidR="00CB2B79"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 xml:space="preserve">y Ambiente </w:t>
      </w:r>
      <w:r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>del SICA</w:t>
      </w:r>
    </w:p>
    <w:p w14:paraId="4E510F9D" w14:textId="16D0DE38" w:rsidR="008F074E" w:rsidRPr="008F074E" w:rsidRDefault="00CB2B79" w:rsidP="008F074E">
      <w:pPr>
        <w:jc w:val="center"/>
        <w:rPr>
          <w:rFonts w:asciiTheme="majorHAnsi" w:hAnsiTheme="majorHAnsi" w:cstheme="majorHAnsi"/>
          <w:b/>
          <w:bCs/>
          <w:color w:val="165D2A"/>
          <w:sz w:val="24"/>
          <w:szCs w:val="24"/>
        </w:rPr>
      </w:pPr>
      <w:r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 xml:space="preserve">Lunes 14 de Noviembre </w:t>
      </w:r>
      <w:r w:rsidR="000A4BCC"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>de 20</w:t>
      </w:r>
      <w:r w:rsidRPr="008F074E">
        <w:rPr>
          <w:rFonts w:asciiTheme="majorHAnsi" w:hAnsiTheme="majorHAnsi" w:cstheme="majorHAnsi"/>
          <w:b/>
          <w:bCs/>
          <w:color w:val="165D2A"/>
          <w:sz w:val="24"/>
          <w:szCs w:val="24"/>
        </w:rPr>
        <w:t>22</w:t>
      </w:r>
    </w:p>
    <w:p w14:paraId="1C29006D" w14:textId="134CA60D" w:rsidR="00B541C3" w:rsidRPr="001A49C2" w:rsidRDefault="002C7281" w:rsidP="00E61A98">
      <w:pPr>
        <w:jc w:val="both"/>
        <w:rPr>
          <w:rFonts w:cstheme="minorHAnsi"/>
        </w:rPr>
      </w:pPr>
      <w:r w:rsidRPr="001A49C2">
        <w:rPr>
          <w:rFonts w:cstheme="minorHAnsi"/>
        </w:rPr>
        <w:t>Los ministros y secretarios responsables de las carteras de agricultura y ambiente</w:t>
      </w:r>
      <w:r w:rsidR="00C15A5D" w:rsidRPr="001A49C2">
        <w:rPr>
          <w:rFonts w:cstheme="minorHAnsi"/>
        </w:rPr>
        <w:t xml:space="preserve"> de los países miembros del SICA</w:t>
      </w:r>
      <w:r w:rsidRPr="001A49C2">
        <w:rPr>
          <w:rFonts w:cstheme="minorHAnsi"/>
        </w:rPr>
        <w:t xml:space="preserve">, reunidos de forma presencial en el marco de la </w:t>
      </w:r>
      <w:r w:rsidR="00F83D43" w:rsidRPr="001A49C2">
        <w:rPr>
          <w:rFonts w:cstheme="minorHAnsi"/>
        </w:rPr>
        <w:t>XXVII</w:t>
      </w:r>
      <w:r w:rsidRPr="001A49C2">
        <w:rPr>
          <w:rFonts w:cstheme="minorHAnsi"/>
        </w:rPr>
        <w:t xml:space="preserve"> </w:t>
      </w:r>
      <w:r w:rsidR="00F83D43" w:rsidRPr="001A49C2">
        <w:rPr>
          <w:rFonts w:cstheme="minorHAnsi"/>
        </w:rPr>
        <w:t>C</w:t>
      </w:r>
      <w:r w:rsidRPr="001A49C2">
        <w:rPr>
          <w:rFonts w:cstheme="minorHAnsi"/>
        </w:rPr>
        <w:t xml:space="preserve">onferencia de las </w:t>
      </w:r>
      <w:r w:rsidR="00F83D43" w:rsidRPr="001A49C2">
        <w:rPr>
          <w:rFonts w:cstheme="minorHAnsi"/>
        </w:rPr>
        <w:t>P</w:t>
      </w:r>
      <w:r w:rsidRPr="001A49C2">
        <w:rPr>
          <w:rFonts w:cstheme="minorHAnsi"/>
        </w:rPr>
        <w:t>artes de la</w:t>
      </w:r>
      <w:r w:rsidR="00F83D43" w:rsidRPr="001A49C2">
        <w:rPr>
          <w:rFonts w:cstheme="minorHAnsi"/>
        </w:rPr>
        <w:t xml:space="preserve"> C</w:t>
      </w:r>
      <w:r w:rsidRPr="001A49C2">
        <w:rPr>
          <w:rFonts w:cstheme="minorHAnsi"/>
        </w:rPr>
        <w:t xml:space="preserve">onvención </w:t>
      </w:r>
      <w:r w:rsidR="00F83D43" w:rsidRPr="001A49C2">
        <w:rPr>
          <w:rFonts w:cstheme="minorHAnsi"/>
        </w:rPr>
        <w:t>M</w:t>
      </w:r>
      <w:r w:rsidRPr="001A49C2">
        <w:rPr>
          <w:rFonts w:cstheme="minorHAnsi"/>
        </w:rPr>
        <w:t xml:space="preserve">arco de </w:t>
      </w:r>
      <w:r w:rsidR="00F83D43" w:rsidRPr="001A49C2">
        <w:rPr>
          <w:rFonts w:cstheme="minorHAnsi"/>
        </w:rPr>
        <w:t>C</w:t>
      </w:r>
      <w:r w:rsidRPr="001A49C2">
        <w:rPr>
          <w:rFonts w:cstheme="minorHAnsi"/>
        </w:rPr>
        <w:t xml:space="preserve">ambio </w:t>
      </w:r>
      <w:r w:rsidR="00F83D43" w:rsidRPr="001A49C2">
        <w:rPr>
          <w:rFonts w:cstheme="minorHAnsi"/>
        </w:rPr>
        <w:t>Cl</w:t>
      </w:r>
      <w:r w:rsidRPr="001A49C2">
        <w:rPr>
          <w:rFonts w:cstheme="minorHAnsi"/>
        </w:rPr>
        <w:t>imático (</w:t>
      </w:r>
      <w:r w:rsidR="00B51919" w:rsidRPr="001A49C2">
        <w:rPr>
          <w:rFonts w:cstheme="minorHAnsi"/>
        </w:rPr>
        <w:t>COP</w:t>
      </w:r>
      <w:r w:rsidRPr="001A49C2">
        <w:rPr>
          <w:rFonts w:cstheme="minorHAnsi"/>
        </w:rPr>
        <w:t>27)</w:t>
      </w:r>
      <w:r w:rsidR="00F83D43" w:rsidRPr="001A49C2">
        <w:rPr>
          <w:rFonts w:cstheme="minorHAnsi"/>
        </w:rPr>
        <w:t xml:space="preserve"> en Sharm el Sheik, Egipto</w:t>
      </w:r>
      <w:r w:rsidR="00CB2B79" w:rsidRPr="001A49C2">
        <w:rPr>
          <w:rFonts w:cstheme="minorHAnsi"/>
        </w:rPr>
        <w:t>:</w:t>
      </w:r>
    </w:p>
    <w:p w14:paraId="587AD677" w14:textId="02E72DE8" w:rsidR="00B541C3" w:rsidRPr="008F074E" w:rsidRDefault="008F074E" w:rsidP="00E61A98">
      <w:pPr>
        <w:jc w:val="both"/>
        <w:rPr>
          <w:rFonts w:cstheme="minorHAnsi"/>
          <w:b/>
          <w:bCs/>
          <w:color w:val="165D2A"/>
          <w:sz w:val="24"/>
          <w:szCs w:val="24"/>
        </w:rPr>
      </w:pPr>
      <w:r>
        <w:rPr>
          <w:rFonts w:cstheme="minorHAnsi"/>
          <w:b/>
          <w:bCs/>
          <w:noProof/>
          <w:color w:val="165D2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890CD" wp14:editId="69C507BE">
                <wp:simplePos x="0" y="0"/>
                <wp:positionH relativeFrom="column">
                  <wp:posOffset>-3003</wp:posOffset>
                </wp:positionH>
                <wp:positionV relativeFrom="paragraph">
                  <wp:posOffset>199950</wp:posOffset>
                </wp:positionV>
                <wp:extent cx="922149" cy="0"/>
                <wp:effectExtent l="0" t="0" r="1778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1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72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CC2B9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5.75pt" to="72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" strokecolor="#b8721d" strokeweight="1pt">
                <v:stroke joinstyle="miter"/>
              </v:line>
            </w:pict>
          </mc:Fallback>
        </mc:AlternateContent>
      </w:r>
      <w:r w:rsidR="00F83D43" w:rsidRPr="008F074E">
        <w:rPr>
          <w:rFonts w:cstheme="minorHAnsi"/>
          <w:b/>
          <w:bCs/>
          <w:color w:val="165D2A"/>
          <w:sz w:val="24"/>
          <w:szCs w:val="24"/>
        </w:rPr>
        <w:t xml:space="preserve">Manifestamos </w:t>
      </w:r>
      <w:r w:rsidR="00053719" w:rsidRPr="008F074E">
        <w:rPr>
          <w:rFonts w:cstheme="minorHAnsi"/>
          <w:b/>
          <w:bCs/>
          <w:color w:val="165D2A"/>
          <w:sz w:val="24"/>
          <w:szCs w:val="24"/>
        </w:rPr>
        <w:t>:</w:t>
      </w:r>
    </w:p>
    <w:p w14:paraId="4862C57C" w14:textId="41ADB33A" w:rsidR="00F83D43" w:rsidRPr="00F83D43" w:rsidRDefault="00F83D43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Que n</w:t>
      </w:r>
      <w:r w:rsidRPr="00F83D43">
        <w:rPr>
          <w:rFonts w:cstheme="minorHAnsi"/>
        </w:rPr>
        <w:t xml:space="preserve">uestros países, tal como lo evidencian los Informes de Evaluación del IPCC, se encuentran en una de las zonas más expuestas a fenómenos hidrometeorológicos extremos con </w:t>
      </w:r>
      <w:r w:rsidR="004F204B">
        <w:rPr>
          <w:rFonts w:cstheme="minorHAnsi"/>
        </w:rPr>
        <w:t>enormes impactos e</w:t>
      </w:r>
      <w:r w:rsidRPr="00F83D43">
        <w:rPr>
          <w:rFonts w:cstheme="minorHAnsi"/>
        </w:rPr>
        <w:t xml:space="preserve">n la infraestructura social y productiva, </w:t>
      </w:r>
      <w:r w:rsidR="004F204B">
        <w:rPr>
          <w:rFonts w:cstheme="minorHAnsi"/>
        </w:rPr>
        <w:t>los medios de vida y</w:t>
      </w:r>
      <w:r w:rsidRPr="00F83D43">
        <w:rPr>
          <w:rFonts w:cstheme="minorHAnsi"/>
        </w:rPr>
        <w:t xml:space="preserve"> los ecosistemas vitales; </w:t>
      </w:r>
      <w:r w:rsidR="004F204B">
        <w:rPr>
          <w:rFonts w:cstheme="minorHAnsi"/>
        </w:rPr>
        <w:t>ocasionado el incremento de</w:t>
      </w:r>
      <w:r>
        <w:rPr>
          <w:rFonts w:cstheme="minorHAnsi"/>
        </w:rPr>
        <w:t xml:space="preserve"> </w:t>
      </w:r>
      <w:r w:rsidRPr="00F83D43">
        <w:rPr>
          <w:rFonts w:cstheme="minorHAnsi"/>
        </w:rPr>
        <w:t>los déficits sociales, la movilidad humana de importantes poblacio</w:t>
      </w:r>
      <w:r w:rsidR="004F204B">
        <w:rPr>
          <w:rFonts w:cstheme="minorHAnsi"/>
        </w:rPr>
        <w:t>nes</w:t>
      </w:r>
      <w:r w:rsidRPr="00F83D43">
        <w:rPr>
          <w:rFonts w:cstheme="minorHAnsi"/>
        </w:rPr>
        <w:t xml:space="preserve"> en situación de pobreza y presionando las capacidades institucionales y recursos fiscales de nuestros estados.</w:t>
      </w:r>
    </w:p>
    <w:p w14:paraId="15CD852F" w14:textId="706AF081" w:rsidR="00786AC1" w:rsidRPr="00786AC1" w:rsidRDefault="00786AC1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786AC1">
        <w:rPr>
          <w:rFonts w:cstheme="minorHAnsi"/>
        </w:rPr>
        <w:t>Que el cambio climático en nuestra región está exacerbando y profundizando los problemas económicos y sociales existentes en nuestros pueblos, incluyendo los ocasionados por la pandemia del COVID 19, socavando los esfuerzos nacionales y regionales para cumplir con los Objetivos de Desarrollo Sostenible (ODS) y las</w:t>
      </w:r>
      <w:r>
        <w:rPr>
          <w:rFonts w:cstheme="minorHAnsi"/>
        </w:rPr>
        <w:t xml:space="preserve"> iniciativas y </w:t>
      </w:r>
      <w:r w:rsidRPr="00786AC1">
        <w:rPr>
          <w:rFonts w:cstheme="minorHAnsi"/>
        </w:rPr>
        <w:t xml:space="preserve"> sinergias </w:t>
      </w:r>
      <w:r>
        <w:rPr>
          <w:rFonts w:cstheme="minorHAnsi"/>
        </w:rPr>
        <w:t xml:space="preserve">entre </w:t>
      </w:r>
      <w:r w:rsidRPr="00786AC1">
        <w:rPr>
          <w:rFonts w:cstheme="minorHAnsi"/>
        </w:rPr>
        <w:t>las Convenciones de biodiversidad, desertificación y sequía, y el Foro de Naciones Unidas sobre los Bosques</w:t>
      </w:r>
      <w:r>
        <w:rPr>
          <w:rFonts w:cstheme="minorHAnsi"/>
        </w:rPr>
        <w:t>, entre otros compromisos internacionales</w:t>
      </w:r>
      <w:r w:rsidRPr="00786AC1">
        <w:rPr>
          <w:rFonts w:cstheme="minorHAnsi"/>
        </w:rPr>
        <w:t>.</w:t>
      </w:r>
    </w:p>
    <w:p w14:paraId="5FF6AA35" w14:textId="75FA1390" w:rsidR="00F83D43" w:rsidRPr="00F83D43" w:rsidRDefault="00F83D43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t xml:space="preserve">Que en la región del SICA, el sector agrícola y el medio rural enfrentan una situación de especial vulnerabilidad, destacando los últimos fenómenos climáticos </w:t>
      </w:r>
      <w:r w:rsidR="004F204B">
        <w:rPr>
          <w:rFonts w:cstheme="minorHAnsi"/>
        </w:rPr>
        <w:t>durante el</w:t>
      </w:r>
      <w:r w:rsidRPr="00F83D43">
        <w:rPr>
          <w:rFonts w:cstheme="minorHAnsi"/>
        </w:rPr>
        <w:t xml:space="preserve"> 2022, como el huracán Fiona, y las Tormentas tropicales Julia y Lisa</w:t>
      </w:r>
      <w:r w:rsidR="004F204B">
        <w:rPr>
          <w:rFonts w:cstheme="minorHAnsi"/>
        </w:rPr>
        <w:t xml:space="preserve"> que han generado cuantiosas pérdidas de vidas humanas, daños materiales y afectación directa del aparato productivo, especialmente en la producción agroalimentaria.</w:t>
      </w:r>
      <w:r w:rsidRPr="00F83D43">
        <w:rPr>
          <w:rFonts w:cstheme="minorHAnsi"/>
        </w:rPr>
        <w:t xml:space="preserve"> </w:t>
      </w:r>
    </w:p>
    <w:p w14:paraId="03AC6261" w14:textId="568B9AF5" w:rsidR="00B541C3" w:rsidRDefault="00B541C3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t xml:space="preserve">Que el </w:t>
      </w:r>
      <w:r w:rsidR="00FD72A6" w:rsidRPr="00F83D43">
        <w:rPr>
          <w:rFonts w:cstheme="minorHAnsi"/>
        </w:rPr>
        <w:t>Sector agropecuario enfrenta el reto de suplir de forma eficiente y sostenible la creciente demanda de alimentos en el contexto de los importantes impactos de un clima cambiante, que amenazan</w:t>
      </w:r>
      <w:r w:rsidR="00624E37" w:rsidRPr="00F83D43">
        <w:rPr>
          <w:rFonts w:cstheme="minorHAnsi"/>
        </w:rPr>
        <w:t xml:space="preserve"> de manera contundente la seguridad alimentaria de </w:t>
      </w:r>
      <w:r w:rsidR="00342C3E">
        <w:rPr>
          <w:rFonts w:cstheme="minorHAnsi"/>
        </w:rPr>
        <w:t xml:space="preserve">nuestros </w:t>
      </w:r>
      <w:r w:rsidR="00624E37" w:rsidRPr="00F83D43">
        <w:rPr>
          <w:rFonts w:cstheme="minorHAnsi"/>
        </w:rPr>
        <w:t>países</w:t>
      </w:r>
      <w:r w:rsidR="00342C3E">
        <w:rPr>
          <w:rFonts w:cstheme="minorHAnsi"/>
        </w:rPr>
        <w:t>.</w:t>
      </w:r>
    </w:p>
    <w:p w14:paraId="44C4817F" w14:textId="77777777" w:rsidR="008F074E" w:rsidRPr="00F83D43" w:rsidRDefault="008F074E" w:rsidP="001A49C2">
      <w:pPr>
        <w:pStyle w:val="Prrafodelista"/>
        <w:spacing w:before="120" w:after="120"/>
        <w:ind w:left="1080"/>
        <w:contextualSpacing w:val="0"/>
        <w:jc w:val="both"/>
        <w:rPr>
          <w:rFonts w:cstheme="minorHAnsi"/>
        </w:rPr>
      </w:pPr>
    </w:p>
    <w:p w14:paraId="6798504C" w14:textId="3B3BEA6B" w:rsidR="00CB2B79" w:rsidRPr="00F83D43" w:rsidRDefault="00F27B76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lastRenderedPageBreak/>
        <w:t>Que los sistemas alimentarios, entendidos como la constelación de actividades relacionadas con la producción, el procesamiento, el transporte y el consumo de alimentos, son frágiles y enfrentan el peso de múltiples crisis sistémicas que amenazan la estabilidad económica y el respeto a los derechos humanos de las poblaciones pobres y vulnerables.</w:t>
      </w:r>
    </w:p>
    <w:p w14:paraId="70516920" w14:textId="13EEFBAC" w:rsidR="009440AA" w:rsidRPr="00F83D43" w:rsidRDefault="009440AA" w:rsidP="001A49C2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F83D43">
        <w:rPr>
          <w:rFonts w:cstheme="minorHAnsi"/>
          <w:color w:val="212121"/>
        </w:rPr>
        <w:t xml:space="preserve">Que el sector </w:t>
      </w:r>
      <w:r w:rsidR="00C75FB8" w:rsidRPr="00F83D43">
        <w:rPr>
          <w:rFonts w:cstheme="minorHAnsi"/>
          <w:color w:val="212121"/>
        </w:rPr>
        <w:t>AFOLU</w:t>
      </w:r>
      <w:r w:rsidR="00786AC1">
        <w:rPr>
          <w:rFonts w:cstheme="minorHAnsi"/>
          <w:color w:val="212121"/>
        </w:rPr>
        <w:t xml:space="preserve"> se potenció </w:t>
      </w:r>
      <w:r w:rsidRPr="00F83D43">
        <w:rPr>
          <w:rFonts w:cstheme="minorHAnsi"/>
          <w:color w:val="212121"/>
        </w:rPr>
        <w:t xml:space="preserve">durante la  COP  de Glasgow  anterior (COP26), destacando una </w:t>
      </w:r>
      <w:r w:rsidRPr="00F83D43">
        <w:rPr>
          <w:rFonts w:cstheme="minorHAnsi"/>
          <w:color w:val="000000"/>
          <w:shd w:val="clear" w:color="auto" w:fill="FFFFFF"/>
        </w:rPr>
        <w:t xml:space="preserve">mayor integración de los temas de agricultura, forestería y otros usos de la tierra, así como su apertura al financiamiento a traves de  iniciativas como </w:t>
      </w:r>
      <w:r w:rsidRPr="00F83D43">
        <w:rPr>
          <w:rFonts w:cstheme="minorHAnsi"/>
        </w:rPr>
        <w:t>la Declaración de los Lideres de Glasgow sobre Bosques y Uso de la Tierra, y  el Compromiso Global sobre Metano.</w:t>
      </w:r>
    </w:p>
    <w:p w14:paraId="64A44777" w14:textId="5E9374BC" w:rsidR="009B59B0" w:rsidRPr="00342C3E" w:rsidRDefault="00C87EDD" w:rsidP="001A49C2">
      <w:pPr>
        <w:spacing w:before="120" w:after="120"/>
        <w:jc w:val="both"/>
        <w:rPr>
          <w:rFonts w:cstheme="minorHAnsi"/>
        </w:rPr>
      </w:pPr>
      <w:r w:rsidRPr="00F83D43">
        <w:rPr>
          <w:rFonts w:cstheme="minorHAnsi"/>
        </w:rPr>
        <w:t>En ocasión de la Vigésimo</w:t>
      </w:r>
      <w:r w:rsidR="006C1DE2" w:rsidRPr="00F83D43">
        <w:rPr>
          <w:rFonts w:cstheme="minorHAnsi"/>
        </w:rPr>
        <w:t xml:space="preserve"> </w:t>
      </w:r>
      <w:r w:rsidR="009F5781" w:rsidRPr="00F83D43">
        <w:rPr>
          <w:rFonts w:cstheme="minorHAnsi"/>
        </w:rPr>
        <w:t>Séptima</w:t>
      </w:r>
      <w:r w:rsidR="00CB2B79" w:rsidRPr="00F83D43">
        <w:rPr>
          <w:rFonts w:cstheme="minorHAnsi"/>
        </w:rPr>
        <w:t xml:space="preserve"> </w:t>
      </w:r>
      <w:r w:rsidRPr="00F83D43">
        <w:rPr>
          <w:rFonts w:cstheme="minorHAnsi"/>
        </w:rPr>
        <w:t>Conferencia de las Partes de la Convención Marco de Naciones Unidas para el Cambio Climático</w:t>
      </w:r>
      <w:r w:rsidR="00C75FB8" w:rsidRPr="00F83D43">
        <w:rPr>
          <w:rFonts w:cstheme="minorHAnsi"/>
        </w:rPr>
        <w:t>:</w:t>
      </w:r>
      <w:r w:rsidR="00CB2B79" w:rsidRPr="00F83D43">
        <w:rPr>
          <w:rFonts w:cstheme="minorHAnsi"/>
        </w:rPr>
        <w:t xml:space="preserve"> </w:t>
      </w:r>
    </w:p>
    <w:p w14:paraId="277C36F5" w14:textId="5EB6CC74" w:rsidR="008F074E" w:rsidRPr="008F074E" w:rsidRDefault="008F074E" w:rsidP="00E61A98">
      <w:pPr>
        <w:jc w:val="both"/>
        <w:rPr>
          <w:color w:val="165D2A"/>
          <w:sz w:val="24"/>
          <w:szCs w:val="24"/>
        </w:rPr>
      </w:pPr>
      <w:r w:rsidRPr="008F074E">
        <w:rPr>
          <w:rFonts w:cstheme="minorHAnsi"/>
          <w:b/>
          <w:bCs/>
          <w:noProof/>
          <w:color w:val="165D2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5927" wp14:editId="5782EFA8">
                <wp:simplePos x="0" y="0"/>
                <wp:positionH relativeFrom="column">
                  <wp:posOffset>-3003</wp:posOffset>
                </wp:positionH>
                <wp:positionV relativeFrom="paragraph">
                  <wp:posOffset>185366</wp:posOffset>
                </wp:positionV>
                <wp:extent cx="573437" cy="0"/>
                <wp:effectExtent l="0" t="0" r="1079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872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3457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6pt" to="4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" strokecolor="#b8721d" strokeweight="1pt">
                <v:stroke joinstyle="miter"/>
              </v:line>
            </w:pict>
          </mc:Fallback>
        </mc:AlternateContent>
      </w:r>
      <w:r w:rsidR="00C87EDD" w:rsidRPr="008F074E">
        <w:rPr>
          <w:rFonts w:cstheme="minorHAnsi"/>
          <w:b/>
          <w:bCs/>
          <w:color w:val="165D2A"/>
          <w:sz w:val="24"/>
          <w:szCs w:val="24"/>
        </w:rPr>
        <w:t>D</w:t>
      </w:r>
      <w:r w:rsidRPr="008F074E">
        <w:rPr>
          <w:rFonts w:cstheme="minorHAnsi"/>
          <w:b/>
          <w:bCs/>
          <w:color w:val="165D2A"/>
          <w:sz w:val="24"/>
          <w:szCs w:val="24"/>
        </w:rPr>
        <w:t>eclaran</w:t>
      </w:r>
      <w:r w:rsidR="00C87EDD" w:rsidRPr="008F074E">
        <w:rPr>
          <w:rFonts w:cstheme="minorHAnsi"/>
          <w:b/>
          <w:bCs/>
          <w:color w:val="165D2A"/>
          <w:sz w:val="24"/>
          <w:szCs w:val="24"/>
        </w:rPr>
        <w:t>:</w:t>
      </w:r>
      <w:r w:rsidR="00E61A98" w:rsidRPr="008F074E">
        <w:rPr>
          <w:color w:val="165D2A"/>
          <w:sz w:val="24"/>
          <w:szCs w:val="24"/>
        </w:rPr>
        <w:t xml:space="preserve"> </w:t>
      </w:r>
    </w:p>
    <w:p w14:paraId="76ADBF00" w14:textId="05424E4D" w:rsidR="00E61A98" w:rsidRPr="00E61A98" w:rsidRDefault="00E61A98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  <w:b/>
          <w:bCs/>
        </w:rPr>
      </w:pPr>
      <w:r>
        <w:t>Hacer un llamado a los países desarrollados, principales emisores y responsables de la problemática climática global, a ratificar sus compromisos en la COP27, acelerar la acción climática y ser consecuentes con el Pacto Climático de Glasgow surgido de la COP26. Demandamos cambios inmediatos y un mayor esfuerzo para lograr los objetivos del Acuerdo de París, incrementando la ambición a través de sus Contribuciones Nacionalmente Determinadas (NDC), con la meta del 1.5°C. Por lo cual, exigimos que cumplan al menos con el 50% de reducción de emisiones de CO2 al 2030.</w:t>
      </w:r>
    </w:p>
    <w:p w14:paraId="4361B792" w14:textId="2053268F" w:rsidR="00C87EDD" w:rsidRPr="00F83D43" w:rsidRDefault="00CB2B79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t>R</w:t>
      </w:r>
      <w:r w:rsidR="00C87EDD" w:rsidRPr="00F83D43">
        <w:rPr>
          <w:rFonts w:cstheme="minorHAnsi"/>
        </w:rPr>
        <w:t>eafirma</w:t>
      </w:r>
      <w:r w:rsidR="009B59B0" w:rsidRPr="00F83D43">
        <w:rPr>
          <w:rFonts w:cstheme="minorHAnsi"/>
        </w:rPr>
        <w:t>r</w:t>
      </w:r>
      <w:r w:rsidR="00C87EDD" w:rsidRPr="00F83D43">
        <w:rPr>
          <w:rFonts w:cstheme="minorHAnsi"/>
        </w:rPr>
        <w:t xml:space="preserve"> el compromiso de </w:t>
      </w:r>
      <w:r w:rsidR="00E61A98">
        <w:rPr>
          <w:rFonts w:cstheme="minorHAnsi"/>
        </w:rPr>
        <w:t xml:space="preserve">nuestra región de </w:t>
      </w:r>
      <w:r w:rsidR="00C87EDD" w:rsidRPr="00F83D43">
        <w:rPr>
          <w:rFonts w:cstheme="minorHAnsi"/>
        </w:rPr>
        <w:t xml:space="preserve">continuar promoviendo una agricultura más competitiva, inclusiva, sostenible, baja en carbono y adaptada a los efectos del cambio climático y de la variabilidad climática; respaldando e impulsando la implementación de la Estrategia de Agricultura Sostenible Adaptada al </w:t>
      </w:r>
      <w:r w:rsidR="00293CD5" w:rsidRPr="00F83D43">
        <w:rPr>
          <w:rFonts w:cstheme="minorHAnsi"/>
        </w:rPr>
        <w:t>Cl</w:t>
      </w:r>
      <w:r w:rsidR="00C87EDD" w:rsidRPr="00F83D43">
        <w:rPr>
          <w:rFonts w:cstheme="minorHAnsi"/>
        </w:rPr>
        <w:t>ima</w:t>
      </w:r>
      <w:r w:rsidR="00293CD5" w:rsidRPr="00F83D43">
        <w:rPr>
          <w:rFonts w:cstheme="minorHAnsi"/>
        </w:rPr>
        <w:t xml:space="preserve">, la Política Agropecuaria Regional, </w:t>
      </w:r>
      <w:r w:rsidR="00C87EDD" w:rsidRPr="00F83D43">
        <w:rPr>
          <w:rFonts w:cstheme="minorHAnsi"/>
        </w:rPr>
        <w:t>y otros instrumentos regionales que proponen llevar a la práctica acciones climáticas bajo un principio de igualdad y equidad entre los géneros, el enfoque intergeneracional y la inclusión social.</w:t>
      </w:r>
    </w:p>
    <w:p w14:paraId="4F279611" w14:textId="3F887DA1" w:rsidR="009B59B0" w:rsidRPr="00F83D43" w:rsidRDefault="009B59B0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83D43">
        <w:rPr>
          <w:rFonts w:cstheme="minorHAnsi"/>
          <w:color w:val="000000"/>
        </w:rPr>
        <w:t xml:space="preserve">Reconocer el rol de las juventudes rurales </w:t>
      </w:r>
      <w:r w:rsidR="00DB794F" w:rsidRPr="00F83D43">
        <w:rPr>
          <w:rFonts w:cstheme="minorHAnsi"/>
          <w:color w:val="000000"/>
        </w:rPr>
        <w:t>y de</w:t>
      </w:r>
      <w:r w:rsidRPr="00F83D43">
        <w:rPr>
          <w:rFonts w:cstheme="minorHAnsi"/>
          <w:color w:val="000000"/>
        </w:rPr>
        <w:t xml:space="preserve"> la agricultura </w:t>
      </w:r>
      <w:r w:rsidR="00E26D45" w:rsidRPr="00F83D43">
        <w:rPr>
          <w:rFonts w:cstheme="minorHAnsi"/>
          <w:color w:val="000000"/>
        </w:rPr>
        <w:t>familiar en</w:t>
      </w:r>
      <w:r w:rsidRPr="00F83D43">
        <w:rPr>
          <w:rFonts w:cstheme="minorHAnsi"/>
          <w:color w:val="000000"/>
        </w:rPr>
        <w:t xml:space="preserve"> la reactivación y desarrollo del sector agropecuario y rural, tanto por sus capacidades y competencias, como por su peso poblacional para ser agentes territoriales de transformación. Es preciso generar condiciones y apoyos para que este potencial se haga efectivo a través del abordaje de los diseños e implementación de programas desde un enfoque integrado, incluyendo a las juventudes como parte del enfoque de agricultura familiar sostenible y adaptada al clima.</w:t>
      </w:r>
    </w:p>
    <w:p w14:paraId="764DC8FD" w14:textId="61CEA2CD" w:rsidR="00C87EDD" w:rsidRPr="00F83D43" w:rsidRDefault="00CB2B79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t>R</w:t>
      </w:r>
      <w:r w:rsidR="00C87EDD" w:rsidRPr="00F83D43">
        <w:rPr>
          <w:rFonts w:cstheme="minorHAnsi"/>
        </w:rPr>
        <w:t>eitera</w:t>
      </w:r>
      <w:r w:rsidR="009B59B0" w:rsidRPr="00F83D43">
        <w:rPr>
          <w:rFonts w:cstheme="minorHAnsi"/>
        </w:rPr>
        <w:t>r</w:t>
      </w:r>
      <w:r w:rsidR="00C87EDD" w:rsidRPr="00F83D43">
        <w:rPr>
          <w:rFonts w:cstheme="minorHAnsi"/>
        </w:rPr>
        <w:t xml:space="preserve"> </w:t>
      </w:r>
      <w:r w:rsidR="009B59B0" w:rsidRPr="00F83D43">
        <w:rPr>
          <w:rFonts w:cstheme="minorHAnsi"/>
        </w:rPr>
        <w:t>la</w:t>
      </w:r>
      <w:r w:rsidR="00C87EDD" w:rsidRPr="00F83D43">
        <w:rPr>
          <w:rFonts w:cstheme="minorHAnsi"/>
        </w:rPr>
        <w:t xml:space="preserve"> disposición para apoyar e impulsar los procesos de revisión e implementación de las Contribuciones Nacionalmente Determinadas</w:t>
      </w:r>
      <w:r w:rsidR="0030284B" w:rsidRPr="00F83D43">
        <w:rPr>
          <w:rFonts w:cstheme="minorHAnsi"/>
        </w:rPr>
        <w:t xml:space="preserve">, resaltando la necesidad de facilitar el acceso del sector agropecuario </w:t>
      </w:r>
      <w:r w:rsidR="00D56877" w:rsidRPr="00F83D43">
        <w:rPr>
          <w:rFonts w:cstheme="minorHAnsi"/>
        </w:rPr>
        <w:t xml:space="preserve"> y cambio de uso de suelo, </w:t>
      </w:r>
      <w:r w:rsidR="0030284B" w:rsidRPr="00F83D43">
        <w:rPr>
          <w:rFonts w:cstheme="minorHAnsi"/>
        </w:rPr>
        <w:t>a los medios que permitan su mayor involucramiento y activa participación en la agenda climática, incluyendo el fortalecimiento de las capacidades, el desarrollo y transferencia de tecnologías</w:t>
      </w:r>
      <w:r w:rsidR="00067805" w:rsidRPr="00F83D43">
        <w:rPr>
          <w:rFonts w:cstheme="minorHAnsi"/>
        </w:rPr>
        <w:t xml:space="preserve"> climáticas</w:t>
      </w:r>
      <w:r w:rsidR="0030284B" w:rsidRPr="00F83D43">
        <w:rPr>
          <w:rFonts w:cstheme="minorHAnsi"/>
        </w:rPr>
        <w:t xml:space="preserve"> y la definición de portafolios de inversión a nivel nacional y regional.</w:t>
      </w:r>
    </w:p>
    <w:p w14:paraId="6138FAF5" w14:textId="0CE5D0C9" w:rsidR="00D56877" w:rsidRPr="00F83D43" w:rsidRDefault="00786AC1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Reafirmar nuestro compromiso de </w:t>
      </w:r>
      <w:r w:rsidR="00CB2B79" w:rsidRPr="00F83D43">
        <w:rPr>
          <w:rFonts w:cstheme="minorHAnsi"/>
        </w:rPr>
        <w:t>s</w:t>
      </w:r>
      <w:r w:rsidR="002D2D09" w:rsidRPr="00F83D43">
        <w:rPr>
          <w:rFonts w:cstheme="minorHAnsi"/>
        </w:rPr>
        <w:t xml:space="preserve">eguir </w:t>
      </w:r>
      <w:r w:rsidR="0030284B" w:rsidRPr="00F83D43">
        <w:rPr>
          <w:rFonts w:cstheme="minorHAnsi"/>
        </w:rPr>
        <w:t xml:space="preserve">avanzando hacia la operativización de las acciones planteadas en el marco de la iniciativa “Construcción de Resiliencia en la Región SICA bajo un Enfoque Sinérgico entre la Mitigación y Adaptación- </w:t>
      </w:r>
      <w:r w:rsidR="00067805" w:rsidRPr="00F83D43">
        <w:rPr>
          <w:rFonts w:cstheme="minorHAnsi"/>
        </w:rPr>
        <w:t>Enfocándose en sector Agricultura, Forestería y otros usos de la tierra (</w:t>
      </w:r>
      <w:r w:rsidR="0030284B" w:rsidRPr="00F83D43">
        <w:rPr>
          <w:rFonts w:cstheme="minorHAnsi"/>
        </w:rPr>
        <w:t>AFOLU2040</w:t>
      </w:r>
      <w:r w:rsidR="00067805" w:rsidRPr="00F83D43">
        <w:rPr>
          <w:rFonts w:cstheme="minorHAnsi"/>
        </w:rPr>
        <w:t>)</w:t>
      </w:r>
      <w:r w:rsidR="00293CD5" w:rsidRPr="00F83D43">
        <w:rPr>
          <w:rFonts w:cstheme="minorHAnsi"/>
        </w:rPr>
        <w:t xml:space="preserve">,  </w:t>
      </w:r>
      <w:r w:rsidR="00067805" w:rsidRPr="00F83D43">
        <w:rPr>
          <w:rFonts w:cstheme="minorHAnsi"/>
        </w:rPr>
        <w:t>que permitirá la rehabilitación y conservación de zonas boscosas, el establecimiento de corredores biológicos mediante la adopción de sistemas agroforestales y silvopastoriles resilientes, transformando las zonas agrícolas a través de prácticas sostenibles bajas en carbono, incrementando la productividad y promoviendo la neutralidad en la degradación de las tierras.</w:t>
      </w:r>
    </w:p>
    <w:p w14:paraId="67E7525E" w14:textId="4F72DC0F" w:rsidR="00E61A98" w:rsidRPr="00E61A98" w:rsidRDefault="00E61A98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F83D43">
        <w:rPr>
          <w:rFonts w:cstheme="minorHAnsi"/>
        </w:rPr>
        <w:t>Hacer un llamado especial a la comunidad internacional para solicitar un mayor acceso a la cooperación técnica y financiera para la implementación de mecanismos e iniciativas que promuevan la iniciativa AFOLU 2040 en la región del SICA</w:t>
      </w:r>
      <w:r>
        <w:rPr>
          <w:rFonts w:cstheme="minorHAnsi"/>
        </w:rPr>
        <w:t>.</w:t>
      </w:r>
    </w:p>
    <w:p w14:paraId="2C94BB04" w14:textId="2AD3778C" w:rsidR="00D56877" w:rsidRPr="00F83D43" w:rsidRDefault="00786AC1" w:rsidP="001A49C2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color w:val="000000"/>
        </w:rPr>
        <w:t>Contribuir desde nuestra experiencia y propuestas a c</w:t>
      </w:r>
      <w:r w:rsidR="00D56877" w:rsidRPr="00F83D43">
        <w:rPr>
          <w:rFonts w:eastAsia="Times New Roman" w:cstheme="minorHAnsi"/>
          <w:color w:val="000000"/>
        </w:rPr>
        <w:t xml:space="preserve">oncretar </w:t>
      </w:r>
      <w:r w:rsidR="00E61A98">
        <w:rPr>
          <w:rFonts w:eastAsia="Times New Roman" w:cstheme="minorHAnsi"/>
          <w:color w:val="000000"/>
        </w:rPr>
        <w:t xml:space="preserve">y operativizar </w:t>
      </w:r>
      <w:r w:rsidR="00D56877" w:rsidRPr="00F83D43">
        <w:rPr>
          <w:rFonts w:eastAsia="Times New Roman" w:cstheme="minorHAnsi"/>
          <w:color w:val="000000"/>
          <w:lang w:val="es-PA"/>
        </w:rPr>
        <w:t xml:space="preserve">el Programa de “Trabajo Conjunto de Koronivia para la Agricultura” y su apoyo a nivel de implementación para contribuir a nuestras Iniciativas Regionales </w:t>
      </w:r>
      <w:r>
        <w:rPr>
          <w:rFonts w:eastAsia="Times New Roman" w:cstheme="minorHAnsi"/>
          <w:color w:val="000000"/>
          <w:lang w:val="es-PA"/>
        </w:rPr>
        <w:t>tales como la Iniciativa AFOLU 2040</w:t>
      </w:r>
      <w:r w:rsidR="00E61A98">
        <w:rPr>
          <w:rFonts w:eastAsia="Times New Roman" w:cstheme="minorHAnsi"/>
          <w:color w:val="000000"/>
          <w:lang w:val="es-PA"/>
        </w:rPr>
        <w:t>,</w:t>
      </w:r>
      <w:r w:rsidR="00D56877" w:rsidRPr="00F83D43">
        <w:rPr>
          <w:rFonts w:eastAsia="Times New Roman" w:cstheme="minorHAnsi"/>
          <w:color w:val="000000"/>
          <w:lang w:val="es-PA"/>
        </w:rPr>
        <w:t xml:space="preserve"> </w:t>
      </w:r>
      <w:r w:rsidR="00E61A98">
        <w:rPr>
          <w:rFonts w:eastAsia="Times New Roman" w:cstheme="minorHAnsi"/>
          <w:color w:val="000000"/>
          <w:lang w:val="es-PA"/>
        </w:rPr>
        <w:t xml:space="preserve">Corredor Seco y </w:t>
      </w:r>
      <w:r w:rsidR="00D56877" w:rsidRPr="00F83D43">
        <w:rPr>
          <w:rFonts w:eastAsia="Times New Roman" w:cstheme="minorHAnsi"/>
          <w:color w:val="000000"/>
          <w:lang w:val="es-PA"/>
        </w:rPr>
        <w:t>Grandes Bosques de Centroamérica y República Dominican</w:t>
      </w:r>
      <w:r w:rsidR="00E61A98">
        <w:rPr>
          <w:rFonts w:eastAsia="Times New Roman" w:cstheme="minorHAnsi"/>
          <w:color w:val="000000"/>
          <w:lang w:val="es-PA"/>
        </w:rPr>
        <w:t>a</w:t>
      </w:r>
      <w:r w:rsidR="00D56877" w:rsidRPr="00F83D43">
        <w:rPr>
          <w:rFonts w:eastAsia="Times New Roman" w:cstheme="minorHAnsi"/>
          <w:color w:val="000000"/>
          <w:lang w:val="es-PA"/>
        </w:rPr>
        <w:t>, que buscan promover la reducción de emisiones, aumento de los sumideros de carbono y protección de la biodiversidad.</w:t>
      </w:r>
    </w:p>
    <w:p w14:paraId="64C79210" w14:textId="70CCD6A3" w:rsidR="00C23CB7" w:rsidRPr="00053719" w:rsidRDefault="000945CB" w:rsidP="00E61A98">
      <w:pPr>
        <w:pStyle w:val="Prrafodelista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530C2B" wp14:editId="1A7EE001">
            <wp:simplePos x="0" y="0"/>
            <wp:positionH relativeFrom="page">
              <wp:posOffset>2573655</wp:posOffset>
            </wp:positionH>
            <wp:positionV relativeFrom="page">
              <wp:posOffset>5271135</wp:posOffset>
            </wp:positionV>
            <wp:extent cx="4941765" cy="4305300"/>
            <wp:effectExtent l="0" t="0" r="0" b="0"/>
            <wp:wrapSquare wrapText="bothSides"/>
            <wp:docPr id="4" name="Imagen 4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 con confianza media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0"/>
                    <a:stretch/>
                  </pic:blipFill>
                  <pic:spPr bwMode="auto">
                    <a:xfrm>
                      <a:off x="0" y="0"/>
                      <a:ext cx="494176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CB7" w:rsidRPr="00053719" w:rsidSect="00D8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4916" w14:textId="77777777" w:rsidR="006609E9" w:rsidRDefault="006609E9" w:rsidP="00DA0CBE">
      <w:pPr>
        <w:spacing w:after="0" w:line="240" w:lineRule="auto"/>
      </w:pPr>
      <w:r>
        <w:separator/>
      </w:r>
    </w:p>
  </w:endnote>
  <w:endnote w:type="continuationSeparator" w:id="0">
    <w:p w14:paraId="4A022D26" w14:textId="77777777" w:rsidR="006609E9" w:rsidRDefault="006609E9" w:rsidP="00DA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22360781"/>
      <w:docPartObj>
        <w:docPartGallery w:val="Page Numbers (Bottom of Page)"/>
        <w:docPartUnique/>
      </w:docPartObj>
    </w:sdtPr>
    <w:sdtContent>
      <w:p w14:paraId="557FECCA" w14:textId="58EA3005" w:rsidR="00D84553" w:rsidRDefault="00D84553" w:rsidP="000C53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389E0B3" w14:textId="77777777" w:rsidR="00D84553" w:rsidRDefault="00D84553" w:rsidP="00D845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2015252"/>
      <w:docPartObj>
        <w:docPartGallery w:val="Page Numbers (Bottom of Page)"/>
        <w:docPartUnique/>
      </w:docPartObj>
    </w:sdtPr>
    <w:sdtContent>
      <w:p w14:paraId="082B6087" w14:textId="72478805" w:rsidR="00D84553" w:rsidRDefault="00D84553" w:rsidP="000C53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560E23F" w14:textId="724ABD5B" w:rsidR="00F83D43" w:rsidRDefault="00D84553" w:rsidP="00D84553">
    <w:pPr>
      <w:pStyle w:val="Piedepgina"/>
      <w:ind w:right="36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4F3209" wp14:editId="33F5E4AC">
          <wp:simplePos x="0" y="0"/>
          <wp:positionH relativeFrom="column">
            <wp:posOffset>-1082180</wp:posOffset>
          </wp:positionH>
          <wp:positionV relativeFrom="paragraph">
            <wp:posOffset>-537530</wp:posOffset>
          </wp:positionV>
          <wp:extent cx="7780655" cy="1403350"/>
          <wp:effectExtent l="0" t="0" r="4445" b="635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5990A" w14:textId="77777777" w:rsidR="00F83D43" w:rsidRDefault="00F83D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69C" w14:textId="77777777" w:rsidR="00847470" w:rsidRDefault="00847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BE00" w14:textId="77777777" w:rsidR="006609E9" w:rsidRDefault="006609E9" w:rsidP="00DA0CBE">
      <w:pPr>
        <w:spacing w:after="0" w:line="240" w:lineRule="auto"/>
      </w:pPr>
      <w:r>
        <w:separator/>
      </w:r>
    </w:p>
  </w:footnote>
  <w:footnote w:type="continuationSeparator" w:id="0">
    <w:p w14:paraId="431228C5" w14:textId="77777777" w:rsidR="006609E9" w:rsidRDefault="006609E9" w:rsidP="00DA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B2DB" w14:textId="77777777" w:rsidR="00847470" w:rsidRDefault="008474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EE8" w14:textId="067AD97C" w:rsidR="00DA0CBE" w:rsidRDefault="00847470" w:rsidP="00DA0CBE">
    <w:pPr>
      <w:pStyle w:val="Encabezado"/>
      <w:tabs>
        <w:tab w:val="clear" w:pos="4419"/>
        <w:tab w:val="clear" w:pos="8838"/>
        <w:tab w:val="left" w:pos="94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1F61402" wp14:editId="43C9D5EB">
          <wp:simplePos x="0" y="0"/>
          <wp:positionH relativeFrom="column">
            <wp:posOffset>-1088511</wp:posOffset>
          </wp:positionH>
          <wp:positionV relativeFrom="paragraph">
            <wp:posOffset>-440473</wp:posOffset>
          </wp:positionV>
          <wp:extent cx="7792883" cy="1274445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83" cy="12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C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1182" w14:textId="77777777" w:rsidR="00847470" w:rsidRDefault="00847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1B"/>
    <w:multiLevelType w:val="multilevel"/>
    <w:tmpl w:val="3052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D40487"/>
    <w:multiLevelType w:val="hybridMultilevel"/>
    <w:tmpl w:val="B28AFE66"/>
    <w:lvl w:ilvl="0" w:tplc="2400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4CB3"/>
    <w:multiLevelType w:val="hybridMultilevel"/>
    <w:tmpl w:val="8A5673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A8E"/>
    <w:multiLevelType w:val="hybridMultilevel"/>
    <w:tmpl w:val="B28AFE66"/>
    <w:lvl w:ilvl="0" w:tplc="2400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80138">
    <w:abstractNumId w:val="3"/>
  </w:num>
  <w:num w:numId="2" w16cid:durableId="688946698">
    <w:abstractNumId w:val="1"/>
  </w:num>
  <w:num w:numId="3" w16cid:durableId="2142191606">
    <w:abstractNumId w:val="2"/>
  </w:num>
  <w:num w:numId="4" w16cid:durableId="128275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C3"/>
    <w:rsid w:val="00037A74"/>
    <w:rsid w:val="00053719"/>
    <w:rsid w:val="00067805"/>
    <w:rsid w:val="000945CB"/>
    <w:rsid w:val="000A4BCC"/>
    <w:rsid w:val="000A6C93"/>
    <w:rsid w:val="000C0494"/>
    <w:rsid w:val="00106CFA"/>
    <w:rsid w:val="001131CA"/>
    <w:rsid w:val="001A49C2"/>
    <w:rsid w:val="001C50C8"/>
    <w:rsid w:val="001D011B"/>
    <w:rsid w:val="00274541"/>
    <w:rsid w:val="00293CD5"/>
    <w:rsid w:val="002C7281"/>
    <w:rsid w:val="002D2D09"/>
    <w:rsid w:val="0030284B"/>
    <w:rsid w:val="00315697"/>
    <w:rsid w:val="00342A36"/>
    <w:rsid w:val="00342C3E"/>
    <w:rsid w:val="00350084"/>
    <w:rsid w:val="003659DC"/>
    <w:rsid w:val="00411757"/>
    <w:rsid w:val="004149A2"/>
    <w:rsid w:val="004475EF"/>
    <w:rsid w:val="004932FE"/>
    <w:rsid w:val="004E7E29"/>
    <w:rsid w:val="004F204B"/>
    <w:rsid w:val="00554599"/>
    <w:rsid w:val="005E5CD1"/>
    <w:rsid w:val="005F7222"/>
    <w:rsid w:val="0062279F"/>
    <w:rsid w:val="00624E37"/>
    <w:rsid w:val="00627A10"/>
    <w:rsid w:val="006609E9"/>
    <w:rsid w:val="006C1DE2"/>
    <w:rsid w:val="006D24FE"/>
    <w:rsid w:val="006D61D6"/>
    <w:rsid w:val="00712E7D"/>
    <w:rsid w:val="00777F34"/>
    <w:rsid w:val="00786AC1"/>
    <w:rsid w:val="007A4365"/>
    <w:rsid w:val="007F2C74"/>
    <w:rsid w:val="008301FD"/>
    <w:rsid w:val="00847470"/>
    <w:rsid w:val="00855F4B"/>
    <w:rsid w:val="00877288"/>
    <w:rsid w:val="008931A3"/>
    <w:rsid w:val="008B0469"/>
    <w:rsid w:val="008D1071"/>
    <w:rsid w:val="008F074E"/>
    <w:rsid w:val="008F5293"/>
    <w:rsid w:val="0093312F"/>
    <w:rsid w:val="009440AA"/>
    <w:rsid w:val="009B59B0"/>
    <w:rsid w:val="009C41FA"/>
    <w:rsid w:val="009C6CD9"/>
    <w:rsid w:val="009E2AEF"/>
    <w:rsid w:val="009F5781"/>
    <w:rsid w:val="00A87A6D"/>
    <w:rsid w:val="00AB2B96"/>
    <w:rsid w:val="00B1023A"/>
    <w:rsid w:val="00B4353D"/>
    <w:rsid w:val="00B51919"/>
    <w:rsid w:val="00B541C3"/>
    <w:rsid w:val="00B56B96"/>
    <w:rsid w:val="00B82254"/>
    <w:rsid w:val="00C15A5D"/>
    <w:rsid w:val="00C15BBF"/>
    <w:rsid w:val="00C236B1"/>
    <w:rsid w:val="00C23CB7"/>
    <w:rsid w:val="00C31A6E"/>
    <w:rsid w:val="00C3650C"/>
    <w:rsid w:val="00C55041"/>
    <w:rsid w:val="00C75FB8"/>
    <w:rsid w:val="00C87EDD"/>
    <w:rsid w:val="00C9413B"/>
    <w:rsid w:val="00CA7D13"/>
    <w:rsid w:val="00CB2B79"/>
    <w:rsid w:val="00CC258A"/>
    <w:rsid w:val="00CC7F7F"/>
    <w:rsid w:val="00CD501A"/>
    <w:rsid w:val="00CE3E85"/>
    <w:rsid w:val="00CE5D99"/>
    <w:rsid w:val="00D34267"/>
    <w:rsid w:val="00D56877"/>
    <w:rsid w:val="00D65CED"/>
    <w:rsid w:val="00D84553"/>
    <w:rsid w:val="00DA0CBE"/>
    <w:rsid w:val="00DB794F"/>
    <w:rsid w:val="00DC217E"/>
    <w:rsid w:val="00DC6D83"/>
    <w:rsid w:val="00DF50EA"/>
    <w:rsid w:val="00E02DA2"/>
    <w:rsid w:val="00E26D45"/>
    <w:rsid w:val="00E3529F"/>
    <w:rsid w:val="00E61A98"/>
    <w:rsid w:val="00EA04EF"/>
    <w:rsid w:val="00EA4BBD"/>
    <w:rsid w:val="00EC28EF"/>
    <w:rsid w:val="00F0600C"/>
    <w:rsid w:val="00F27B76"/>
    <w:rsid w:val="00F76B50"/>
    <w:rsid w:val="00F83D43"/>
    <w:rsid w:val="00F9059E"/>
    <w:rsid w:val="00FD72A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6D132"/>
  <w15:chartTrackingRefBased/>
  <w15:docId w15:val="{5D29CA1D-49E0-4A47-9C03-E17A7B1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1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C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0C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0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CBE"/>
  </w:style>
  <w:style w:type="paragraph" w:styleId="Piedepgina">
    <w:name w:val="footer"/>
    <w:basedOn w:val="Normal"/>
    <w:link w:val="PiedepginaCar"/>
    <w:uiPriority w:val="99"/>
    <w:unhideWhenUsed/>
    <w:rsid w:val="00DA0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CBE"/>
  </w:style>
  <w:style w:type="character" w:customStyle="1" w:styleId="apple-converted-space">
    <w:name w:val="apple-converted-space"/>
    <w:basedOn w:val="Fuentedeprrafopredeter"/>
    <w:rsid w:val="009440AA"/>
  </w:style>
  <w:style w:type="character" w:styleId="Nmerodepgina">
    <w:name w:val="page number"/>
    <w:basedOn w:val="Fuentedeprrafopredeter"/>
    <w:uiPriority w:val="99"/>
    <w:semiHidden/>
    <w:unhideWhenUsed/>
    <w:rsid w:val="00D8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Arguello Lopez</dc:creator>
  <cp:keywords/>
  <dc:description/>
  <cp:lastModifiedBy>Noemy Coto Grijalba</cp:lastModifiedBy>
  <cp:revision>2</cp:revision>
  <dcterms:created xsi:type="dcterms:W3CDTF">2022-11-07T21:27:00Z</dcterms:created>
  <dcterms:modified xsi:type="dcterms:W3CDTF">2022-11-07T21:27:00Z</dcterms:modified>
</cp:coreProperties>
</file>